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360" w:lineRule="auto"/>
        <w:ind w:left="705" w:firstLine="0"/>
        <w:jc w:val="center"/>
        <w:rPr>
          <w:sz w:val="36"/>
          <w:szCs w:val="36"/>
        </w:rPr>
      </w:pPr>
      <w:bookmarkStart w:colFirst="0" w:colLast="0" w:name="_t6g7jcuc29sa" w:id="0"/>
      <w:bookmarkEnd w:id="0"/>
      <w:r w:rsidDel="00000000" w:rsidR="00000000" w:rsidRPr="00000000">
        <w:rPr>
          <w:sz w:val="36"/>
          <w:szCs w:val="36"/>
          <w:rtl w:val="0"/>
        </w:rPr>
        <w:t xml:space="preserve">Vendor Security Checklist</w:t>
      </w:r>
    </w:p>
    <w:p w:rsidR="00000000" w:rsidDel="00000000" w:rsidP="00000000" w:rsidRDefault="00000000" w:rsidRPr="00000000" w14:paraId="00000002">
      <w:pPr>
        <w:pStyle w:val="Heading1"/>
        <w:spacing w:before="0" w:line="360" w:lineRule="auto"/>
        <w:ind w:left="705" w:firstLine="0"/>
        <w:jc w:val="center"/>
        <w:rPr/>
      </w:pPr>
      <w:bookmarkStart w:colFirst="0" w:colLast="0" w:name="_c40s0nlljx4z" w:id="1"/>
      <w:bookmarkEnd w:id="1"/>
      <w:r w:rsidDel="00000000" w:rsidR="00000000" w:rsidRPr="00000000">
        <w:rPr>
          <w:sz w:val="34"/>
          <w:szCs w:val="34"/>
          <w:rtl w:val="0"/>
        </w:rPr>
        <w:t xml:space="preserve">(for Small &amp; Mid-Sized Businesses)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705" w:firstLine="0"/>
        <w:rPr>
          <w:i w:val="1"/>
          <w:iCs w:val="1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How to use</w:t>
      </w:r>
      <w:r w:rsidDel="00000000" w:rsidR="00000000" w:rsidRPr="00000000">
        <w:rPr>
          <w:i w:val="1"/>
          <w:iCs w:val="1"/>
          <w:rtl w:val="0"/>
        </w:rPr>
        <w:t xml:space="preserve">: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1440" w:hanging="360"/>
        <w:rPr>
          <w:i w:val="1"/>
          <w:iCs w:val="1"/>
          <w:sz w:val="22"/>
          <w:szCs w:val="22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iCs w:val="1"/>
          <w:sz w:val="22"/>
          <w:szCs w:val="22"/>
          <w:rtl w:val="0"/>
        </w:rPr>
        <w:t xml:space="preserve">Run a quick huddle (≤15 minutes).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hanging="360"/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For each item, circle Yes / Partly / No and assign an Owner and Due date.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720" w:firstLine="0"/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Scoring: Yes = 2, Partly = 1, No = 0. Sum your score and use the action plan.</w:t>
      </w:r>
    </w:p>
    <w:p w:rsidR="00000000" w:rsidDel="00000000" w:rsidP="00000000" w:rsidRDefault="00000000" w:rsidRPr="00000000" w14:paraId="00000007">
      <w:pPr>
        <w:spacing w:before="0" w:line="36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943600" cy="254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705" w:firstLine="0"/>
        <w:rPr>
          <w:sz w:val="28"/>
          <w:szCs w:val="28"/>
        </w:rPr>
      </w:pPr>
      <w:bookmarkStart w:colFirst="0" w:colLast="0" w:name="_2pxo1vukby6c" w:id="2"/>
      <w:bookmarkEnd w:id="2"/>
      <w:r w:rsidDel="00000000" w:rsidR="00000000" w:rsidRPr="00000000">
        <w:rPr>
          <w:rtl w:val="0"/>
        </w:rPr>
        <w:t xml:space="preserve">Section A — </w:t>
      </w:r>
      <w:r w:rsidDel="00000000" w:rsidR="00000000" w:rsidRPr="00000000">
        <w:rPr>
          <w:rtl w:val="0"/>
        </w:rPr>
        <w:t xml:space="preserve">Must-Pass Gates</w:t>
      </w:r>
      <w:r w:rsidDel="00000000" w:rsidR="00000000" w:rsidRPr="00000000">
        <w:rPr>
          <w:sz w:val="28"/>
          <w:szCs w:val="28"/>
          <w:rtl w:val="0"/>
        </w:rPr>
        <w:t xml:space="preserve"> (Failure = Reject Vendor):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Vendor identity verified through independent sources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br w:type="textWrapping"/>
        <w:t xml:space="preserve">☐ Yes ☐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before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sanctions, fraud, or conflict-of-interest flags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No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Signed code of conduct and compliance agreement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No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1440" w:hanging="360"/>
      </w:pPr>
      <w:r w:rsidDel="00000000" w:rsidR="00000000" w:rsidRPr="00000000">
        <w:rPr>
          <w:rtl w:val="0"/>
        </w:rPr>
        <w:t xml:space="preserve">Meets critical security and data protection requirements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No</w:t>
      </w:r>
    </w:p>
    <w:p w:rsidR="00000000" w:rsidDel="00000000" w:rsidP="00000000" w:rsidRDefault="00000000" w:rsidRPr="00000000" w14:paraId="0000000E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at4h4dtk0w2t" w:id="3"/>
      <w:bookmarkEnd w:id="3"/>
      <w:r w:rsidDel="00000000" w:rsidR="00000000" w:rsidRPr="00000000">
        <w:rPr>
          <w:sz w:val="34"/>
          <w:szCs w:val="34"/>
          <w:rtl w:val="0"/>
        </w:rPr>
        <w:t xml:space="preserve"> Section B — </w:t>
      </w:r>
      <w:r w:rsidDel="00000000" w:rsidR="00000000" w:rsidRPr="00000000">
        <w:rPr>
          <w:sz w:val="34"/>
          <w:szCs w:val="34"/>
          <w:rtl w:val="0"/>
        </w:rPr>
        <w:t xml:space="preserve">Verification &amp; Controls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Vendor registration documents validated?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Background checks and references completed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Ownership and beneficial owner disclosed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13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 ☐</w:t>
      </w:r>
    </w:p>
    <w:p w:rsidR="00000000" w:rsidDel="00000000" w:rsidP="00000000" w:rsidRDefault="00000000" w:rsidRPr="00000000" w14:paraId="00000014">
      <w:pPr>
        <w:spacing w:before="0" w:line="36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178x9d7ajmr5" w:id="4"/>
      <w:bookmarkEnd w:id="4"/>
      <w:r w:rsidDel="00000000" w:rsidR="00000000" w:rsidRPr="00000000">
        <w:rPr>
          <w:sz w:val="34"/>
          <w:szCs w:val="34"/>
          <w:rtl w:val="0"/>
        </w:rPr>
        <w:t xml:space="preserve">Section C — Data &amp; Privacy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Data handling and retention policy reviewed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GDPR/CCPA compliance confirmed if applicable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18">
      <w:pPr>
        <w:spacing w:before="0" w:lineRule="auto"/>
        <w:ind w:left="1440" w:firstLine="0"/>
        <w:jc w:val="both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AI/data use practices disclosed and approved?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Rule="auto"/>
        <w:ind w:left="1440" w:firstLine="0"/>
        <w:jc w:val="both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1B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tebtg2au7ek8" w:id="5"/>
      <w:bookmarkEnd w:id="5"/>
      <w:r w:rsidDel="00000000" w:rsidR="00000000" w:rsidRPr="00000000">
        <w:rPr>
          <w:sz w:val="34"/>
          <w:szCs w:val="34"/>
          <w:rtl w:val="0"/>
        </w:rPr>
        <w:t xml:space="preserve">Section D — </w:t>
      </w:r>
      <w:r w:rsidDel="00000000" w:rsidR="00000000" w:rsidRPr="00000000">
        <w:rPr>
          <w:sz w:val="34"/>
          <w:szCs w:val="34"/>
          <w:rtl w:val="0"/>
        </w:rPr>
        <w:t xml:space="preserve">Security &amp; Access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Information security certifications in place (ISO 27001, SOC2)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Access controls and monitoring enforced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Incident response and breach notification process clear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F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d16rohzk88z" w:id="6"/>
      <w:bookmarkEnd w:id="6"/>
      <w:r w:rsidDel="00000000" w:rsidR="00000000" w:rsidRPr="00000000">
        <w:rPr>
          <w:sz w:val="34"/>
          <w:szCs w:val="34"/>
          <w:rtl w:val="0"/>
        </w:rPr>
        <w:t xml:space="preserve">Section E — </w:t>
      </w:r>
      <w:r w:rsidDel="00000000" w:rsidR="00000000" w:rsidRPr="00000000">
        <w:rPr>
          <w:sz w:val="34"/>
          <w:szCs w:val="34"/>
          <w:rtl w:val="0"/>
        </w:rPr>
        <w:t xml:space="preserve">Oversight &amp; Responsible 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Signed contract includes compliance clauses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before="0" w:lineRule="auto"/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Vendor performance reviewed at least annually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before="0" w:lineRule="auto"/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Exit/termination plan defined and tested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23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spacing w:after="80" w:before="360" w:line="360" w:lineRule="auto"/>
        <w:ind w:left="450" w:right="0" w:firstLine="269.9999999999999"/>
        <w:rPr>
          <w:sz w:val="34"/>
          <w:szCs w:val="34"/>
        </w:rPr>
      </w:pPr>
      <w:bookmarkStart w:colFirst="0" w:colLast="0" w:name="_233aqvxznr7d" w:id="7"/>
      <w:bookmarkEnd w:id="7"/>
      <w:r w:rsidDel="00000000" w:rsidR="00000000" w:rsidRPr="00000000">
        <w:rPr>
          <w:sz w:val="34"/>
          <w:szCs w:val="34"/>
          <w:rtl w:val="0"/>
        </w:rPr>
        <w:t xml:space="preserve">Scoring Evaluation: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24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32–40 (Low risk):</w:t>
      </w:r>
      <w:r w:rsidDel="00000000" w:rsidR="00000000" w:rsidRPr="00000000">
        <w:rPr>
          <w:rtl w:val="0"/>
        </w:rPr>
        <w:t xml:space="preserve"> Keep momentum. Move to the </w:t>
      </w:r>
      <w:r w:rsidDel="00000000" w:rsidR="00000000" w:rsidRPr="00000000">
        <w:rPr>
          <w:b w:val="1"/>
          <w:bCs w:val="1"/>
          <w:rtl w:val="0"/>
        </w:rPr>
        <w:t xml:space="preserve">Pro Toolkit</w:t>
      </w:r>
      <w:r w:rsidDel="00000000" w:rsidR="00000000" w:rsidRPr="00000000">
        <w:rPr>
          <w:rtl w:val="0"/>
        </w:rPr>
        <w:t xml:space="preserve"> to formalize templates.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20–31 (Moderate):</w:t>
      </w:r>
      <w:r w:rsidDel="00000000" w:rsidR="00000000" w:rsidRPr="00000000">
        <w:rPr>
          <w:rtl w:val="0"/>
        </w:rPr>
        <w:t xml:space="preserve"> Fix quick wins in 14 days. Schedule a 2-hour workshop.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0–19 (High):</w:t>
      </w:r>
      <w:r w:rsidDel="00000000" w:rsidR="00000000" w:rsidRPr="00000000">
        <w:rPr>
          <w:rtl w:val="0"/>
        </w:rPr>
        <w:t xml:space="preserve"> Freeze new AI tools; enable approvals; run a 30-day sprint to close gaps</w:t>
      </w:r>
    </w:p>
    <w:p w:rsidR="00000000" w:rsidDel="00000000" w:rsidP="00000000" w:rsidRDefault="00000000" w:rsidRPr="00000000" w14:paraId="00000028">
      <w:pPr>
        <w:pStyle w:val="Heading2"/>
        <w:spacing w:after="80" w:before="360" w:line="360" w:lineRule="auto"/>
        <w:ind w:left="450" w:right="0" w:firstLine="269.9999999999999"/>
        <w:rPr>
          <w:sz w:val="34"/>
          <w:szCs w:val="34"/>
        </w:rPr>
      </w:pPr>
      <w:bookmarkStart w:colFirst="0" w:colLast="0" w:name="_qcgdcd49tpx4" w:id="8"/>
      <w:bookmarkEnd w:id="8"/>
      <w:r w:rsidDel="00000000" w:rsidR="00000000" w:rsidRPr="00000000">
        <w:rPr>
          <w:sz w:val="34"/>
          <w:szCs w:val="34"/>
          <w:rtl w:val="0"/>
        </w:rPr>
        <w:t xml:space="preserve">Scoring Evaluation: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  <w:t xml:space="preserve">ISO/IEC 42001 (AI Management)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  <w:t xml:space="preserve">NIST AI RMF.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  <w:t xml:space="preserve">ISO/IEC 27001 (Security)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  <w:t xml:space="preserve">EU AI Act.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  <w:t xml:space="preserve">GDPR.</w:t>
      </w:r>
    </w:p>
    <w:p w:rsidR="00000000" w:rsidDel="00000000" w:rsidP="00000000" w:rsidRDefault="00000000" w:rsidRPr="00000000" w14:paraId="0000002E">
      <w:pPr>
        <w:spacing w:after="240" w:before="240" w:line="276" w:lineRule="auto"/>
        <w:ind w:left="720" w:firstLine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40" w:before="240" w:line="276" w:lineRule="auto"/>
        <w:ind w:left="720" w:firstLine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276" w:lineRule="auto"/>
        <w:ind w:left="720" w:firstLine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276" w:lineRule="auto"/>
        <w:ind w:left="720" w:firstLine="0"/>
        <w:jc w:val="center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Disclaimer: Operational best practice, not legal advice.</w:t>
      </w:r>
    </w:p>
    <w:p w:rsidR="00000000" w:rsidDel="00000000" w:rsidP="00000000" w:rsidRDefault="00000000" w:rsidRPr="00000000" w14:paraId="00000032">
      <w:pPr>
        <w:spacing w:after="240" w:before="240" w:line="276" w:lineRule="auto"/>
        <w:ind w:left="720" w:firstLine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 Unicode MS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5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pStyle w:val="Subtitle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bookmarkStart w:colFirst="0" w:colLast="0" w:name="_1dp8mb5ajzj1" w:id="9"/>
    <w:bookmarkEnd w:id="9"/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4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ind w:left="0" w:firstLine="0"/>
      <w:rPr/>
    </w:pPr>
    <w:r w:rsidDel="00000000" w:rsidR="00000000" w:rsidRPr="00000000">
      <w:rPr>
        <w:rtl w:val="0"/>
      </w:rPr>
      <w:t xml:space="preserve">© SafeAI for Business • safeaiforbusiness.com • Practical AI governance for SMEs</w:t>
    </w:r>
  </w:p>
  <w:p w:rsidR="00000000" w:rsidDel="00000000" w:rsidP="00000000" w:rsidRDefault="00000000" w:rsidRPr="00000000" w14:paraId="0000003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firstLine="75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0" w:line="240" w:lineRule="auto"/>
      <w:rPr>
        <w:rFonts w:ascii="Montserrat" w:cs="Montserrat" w:eastAsia="Montserrat" w:hAnsi="Montserrat"/>
        <w:color w:val="66666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104776</wp:posOffset>
          </wp:positionH>
          <wp:positionV relativeFrom="paragraph">
            <wp:posOffset>47625</wp:posOffset>
          </wp:positionV>
          <wp:extent cx="578908" cy="578908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8908" cy="57890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5">
    <w:pPr>
      <w:spacing w:before="0" w:line="240" w:lineRule="auto"/>
      <w:ind w:left="2145" w:firstLine="0"/>
      <w:jc w:val="right"/>
      <w:rPr>
        <w:rFonts w:ascii="Montserrat" w:cs="Montserrat" w:eastAsia="Montserrat" w:hAnsi="Montserrat"/>
        <w:color w:val="666666"/>
      </w:rPr>
    </w:pPr>
    <w:r w:rsidDel="00000000" w:rsidR="00000000" w:rsidRPr="00000000">
      <w:rPr>
        <w:rFonts w:ascii="Montserrat" w:cs="Montserrat" w:eastAsia="Montserrat" w:hAnsi="Montserrat"/>
        <w:color w:val="666666"/>
        <w:rtl w:val="0"/>
      </w:rPr>
      <w:t xml:space="preserve">SafeAI for Business</w:t>
    </w:r>
  </w:p>
  <w:p w:rsidR="00000000" w:rsidDel="00000000" w:rsidP="00000000" w:rsidRDefault="00000000" w:rsidRPr="00000000" w14:paraId="00000036">
    <w:pPr>
      <w:spacing w:after="0" w:before="0" w:line="240" w:lineRule="auto"/>
      <w:ind w:left="2145" w:firstLine="0"/>
      <w:jc w:val="right"/>
      <w:rPr/>
    </w:pPr>
    <w:r w:rsidDel="00000000" w:rsidR="00000000" w:rsidRPr="00000000">
      <w:rPr>
        <w:rFonts w:ascii="Montserrat" w:cs="Montserrat" w:eastAsia="Montserrat" w:hAnsi="Montserrat"/>
        <w:color w:val="666666"/>
        <w:rtl w:val="0"/>
      </w:rPr>
      <w:t xml:space="preserve">Version: v1.0 — Sep 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3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spacing w:before="200" w:line="360" w:lineRule="auto"/>
        <w:ind w:left="-15" w:firstLine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ageBreakBefore w:val="0"/>
      <w:spacing w:after="0" w:lineRule="auto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after="0" w:before="480" w:line="240" w:lineRule="auto"/>
      <w:ind w:right="1785"/>
    </w:pPr>
    <w:rPr>
      <w:b w:val="1"/>
      <w:bCs w:val="1"/>
      <w:sz w:val="26"/>
      <w:szCs w:val="26"/>
    </w:rPr>
  </w:style>
  <w:style w:type="paragraph" w:styleId="Heading3">
    <w:name w:val="heading 3"/>
    <w:basedOn w:val="Normal"/>
    <w:next w:val="Normal"/>
    <w:pPr>
      <w:pageBreakBefore w:val="0"/>
    </w:pPr>
    <w:rPr>
      <w:b w:val="1"/>
      <w:bCs w:val="1"/>
      <w:color w:val="8c725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  <w:ind w:left="0" w:firstLine="15"/>
    </w:pPr>
    <w:rPr>
      <w:rFonts w:ascii="Economica" w:cs="Economica" w:eastAsia="Economica" w:hAnsi="Economica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rFonts w:ascii="Economica" w:cs="Economica" w:eastAsia="Economica" w:hAnsi="Economica"/>
      <w:color w:val="99999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